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DD050C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47900" cy="1497137"/>
            <wp:effectExtent l="0" t="0" r="0" b="0"/>
            <wp:docPr id="2" name="Рисунок 2" descr="https://kbrria.ru/upload/iblock/f81/1tpyxuf8sytmrtezuldgzda2gc949x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brria.ru/upload/iblock/f81/1tpyxuf8sytmrtezuldgzda2gc949x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30" cy="151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050C" w:rsidRDefault="00483221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Тарифы на электроэнергию и газ </w:t>
      </w:r>
    </w:p>
    <w:p w:rsidR="00E1025F" w:rsidRDefault="00483221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в 2024-226 гг. будут проиндексированы</w:t>
      </w:r>
    </w:p>
    <w:p w:rsidR="00E1025F" w:rsidRPr="00E1025F" w:rsidRDefault="00E1025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483221" w:rsidRDefault="00483221" w:rsidP="00483221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83221" w:rsidRPr="00DD050C" w:rsidRDefault="00483221" w:rsidP="00DD050C">
      <w:pPr>
        <w:spacing w:line="240" w:lineRule="auto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D050C">
        <w:rPr>
          <w:rFonts w:ascii="Times New Roman" w:hAnsi="Times New Roman" w:cs="Times New Roman"/>
          <w:color w:val="212121"/>
          <w:sz w:val="28"/>
          <w:szCs w:val="28"/>
        </w:rPr>
        <w:t>В Минэнерго России рассказали о причинах роста тарифов на газ и электроэнергию, назвав основной причиной индексации рост издержек производителей и поставщиков, связанный с общим увеличением цен в экономике.</w:t>
      </w:r>
    </w:p>
    <w:p w:rsidR="00483221" w:rsidRPr="00DD050C" w:rsidRDefault="00483221" w:rsidP="00DD050C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DD050C">
        <w:rPr>
          <w:color w:val="212121"/>
          <w:sz w:val="28"/>
          <w:szCs w:val="28"/>
        </w:rPr>
        <w:t>Таким образом, как сообщает ведомство, индексация направлена на компенсацию возрастающих издержек производителей и поставщиков, в том числе связанных с мероприятиями по модернизации и увеличению надежности энергосистем.</w:t>
      </w:r>
    </w:p>
    <w:p w:rsidR="00483221" w:rsidRPr="00DD050C" w:rsidRDefault="00483221" w:rsidP="00DD050C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DD050C">
        <w:rPr>
          <w:color w:val="212121"/>
          <w:sz w:val="28"/>
          <w:szCs w:val="28"/>
        </w:rPr>
        <w:t>В отрасли электроэнергетики рост тарифов позволит обеспечить дальнейшее надежное и бесперебойное электроснабжения всех групп потребителей, а также сохранить затраты, в том числе и на ремонты оборудования. Повышение тарифов на газ поможет реализовать программу социальной газификации в новых субъектах.</w:t>
      </w:r>
    </w:p>
    <w:p w:rsidR="00483221" w:rsidRPr="00DD050C" w:rsidRDefault="00483221" w:rsidP="00DD050C">
      <w:pPr>
        <w:pStyle w:val="a3"/>
        <w:spacing w:before="0" w:beforeAutospacing="0" w:after="150" w:afterAutospacing="0"/>
        <w:ind w:firstLine="426"/>
        <w:jc w:val="both"/>
        <w:rPr>
          <w:color w:val="212121"/>
          <w:sz w:val="28"/>
          <w:szCs w:val="28"/>
        </w:rPr>
      </w:pPr>
      <w:r w:rsidRPr="00DD050C">
        <w:rPr>
          <w:color w:val="212121"/>
          <w:sz w:val="28"/>
          <w:szCs w:val="28"/>
        </w:rPr>
        <w:t>Также в Минэнерго России подчеркнули, что регионы могут самостоятельно устанавливают льготные тарифы на электроэнергию, снижая их на 30%, для жителей в сельских населенных пунктах, а также для жителей городов, у которых есть электроплиты. И напомнили, что регионы реализуют меры социальной поддержки в виде адресных субсидий отдельным категориям граждан при оплате ЖКУ.</w:t>
      </w:r>
    </w:p>
    <w:p w:rsidR="002F1C7B" w:rsidRPr="00DD050C" w:rsidRDefault="002F1C7B" w:rsidP="00DD050C">
      <w:pPr>
        <w:pStyle w:val="a3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sectPr w:rsidR="002F1C7B" w:rsidRPr="00DD050C" w:rsidSect="00066658">
      <w:pgSz w:w="11906" w:h="16838"/>
      <w:pgMar w:top="1276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968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379A-D403-403D-B5BE-3B8372D4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112</cp:revision>
  <cp:lastPrinted>2023-10-24T02:39:00Z</cp:lastPrinted>
  <dcterms:created xsi:type="dcterms:W3CDTF">2018-09-24T09:07:00Z</dcterms:created>
  <dcterms:modified xsi:type="dcterms:W3CDTF">2023-10-24T02:39:00Z</dcterms:modified>
</cp:coreProperties>
</file>